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CC" w:rsidRDefault="001E1ECC" w:rsidP="001E1E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заявлением </w:t>
      </w:r>
      <w:r>
        <w:rPr>
          <w:rFonts w:ascii="Times New Roman" w:hAnsi="Times New Roman" w:cs="Times New Roman"/>
          <w:sz w:val="24"/>
          <w:szCs w:val="24"/>
        </w:rPr>
        <w:t xml:space="preserve">и документами </w:t>
      </w:r>
      <w:bookmarkStart w:id="0" w:name="_GoBack"/>
      <w:bookmarkEnd w:id="0"/>
      <w:r>
        <w:rPr>
          <w:rFonts w:ascii="Times New Roman" w:hAnsi="Times New Roman" w:cs="Times New Roman"/>
          <w:sz w:val="24"/>
          <w:szCs w:val="24"/>
        </w:rPr>
        <w:t>заявителем, являющимся инвалидом III группы и проживающим в семье со среднедушевым доходом ниже двукратной величины прожиточного минимума, установленной на душу населения в Ленинградской области на дату заключения договора, представляются сведения:</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 рождении ребенка при регистрации акта компетентным органом иностранного государства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 смерти члена семьи при регистрации акта компетентным органом иностранного государства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 заключении (расторжении) брака при регистрации акта компетентным органом иностранного государства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 нахождении заявителя или членов его семьи на полном государственном обеспечении (за исключением детей, находящихся под опекой)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 факте обучения заявителя и(или) членов его семьи младше 23 лет в образовательном учреждении среднего профессионального и высшего образования по очной форме обучения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 факте неполучения стипендии в случае обучения заявителя или членов его семьи младше 23 лет в образовательной организации среднего профессионального и высшего образования по очной форме обучения;</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 прохождении заявителем или членами его семьи военной службы по призыву в период, за который рассчитывается среднедушевой доход семьи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 нахождении заявителя и(или) членов его семьи на полном государственном обеспечении (за исключением детей, находящихся под опекой);</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 нахождении заявителя и(или) членов его семьи на принудительном лечении по решению суда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 применении в отношении заявителя и(или) членов его семьи меры пресечения в виде заключения под стражу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 размере ежемесячного пожизненного содержания судей, вышедших в отставку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w:t>
      </w:r>
      <w:r>
        <w:rPr>
          <w:rFonts w:ascii="Times New Roman" w:hAnsi="Times New Roman" w:cs="Times New Roman"/>
          <w:sz w:val="24"/>
          <w:szCs w:val="24"/>
        </w:rPr>
        <w:lastRenderedPageBreak/>
        <w:t>Российской Федерации, а также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 размере доходов, полученных в качестве вознаграждения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рамках гражданско-правового договора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о размере доходов, являющихся денежным довольствием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дополнительных выплат, имеющих постоянный характер, и продовольственного обеспечения (денежная компенсация взамен продовольственного пайка), установленных законодательством Российской Федерации (при наличии);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о размере доходов, полученных в качестве единовременного пособия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о размере доходов, полученных заявителем или членами его семьи за пределами Российской Федерации;</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о размере доходов от осуществления частной практики и доходов, полученных в рамках применения специального налогового режима "Налог на профессиональный доход";</w:t>
      </w:r>
    </w:p>
    <w:p w:rsidR="001E1ECC" w:rsidRDefault="001E1ECC" w:rsidP="001E1E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о размере доходов по договорам авторского заказа, об отчуждении исключительного права на результаты интеллектуальной деятельности.</w:t>
      </w:r>
    </w:p>
    <w:p w:rsidR="007E44D8" w:rsidRDefault="007E44D8"/>
    <w:sectPr w:rsidR="007E44D8" w:rsidSect="00C3202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F4"/>
    <w:rsid w:val="001E1ECC"/>
    <w:rsid w:val="005C49F4"/>
    <w:rsid w:val="007E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FB5C"/>
  <w15:chartTrackingRefBased/>
  <w15:docId w15:val="{1E1EF6C2-81E6-4A73-9AFC-CF018754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Ринатовна Строителева</dc:creator>
  <cp:keywords/>
  <dc:description/>
  <cp:lastModifiedBy>Регина Ринатовна Строителева</cp:lastModifiedBy>
  <cp:revision>2</cp:revision>
  <dcterms:created xsi:type="dcterms:W3CDTF">2021-07-08T07:08:00Z</dcterms:created>
  <dcterms:modified xsi:type="dcterms:W3CDTF">2021-07-08T07:09:00Z</dcterms:modified>
</cp:coreProperties>
</file>